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ook w:val="04A0" w:firstRow="1" w:lastRow="0" w:firstColumn="1" w:lastColumn="0" w:noHBand="0" w:noVBand="1"/>
      </w:tblPr>
      <w:tblGrid>
        <w:gridCol w:w="959"/>
        <w:gridCol w:w="7513"/>
      </w:tblGrid>
      <w:tr w:rsidR="00AE31DC">
        <w:tc>
          <w:tcPr>
            <w:tcW w:w="8472" w:type="dxa"/>
            <w:gridSpan w:val="2"/>
            <w:shd w:val="clear" w:color="auto" w:fill="A6A6A6" w:themeFill="background1" w:themeFillShade="A6"/>
          </w:tcPr>
          <w:p w:rsidR="00AE31DC" w:rsidRDefault="00AA60CD">
            <w:pPr>
              <w:ind w:firstLineChars="0" w:firstLine="0"/>
              <w:jc w:val="center"/>
              <w:rPr>
                <w:sz w:val="28"/>
                <w:szCs w:val="28"/>
              </w:rPr>
            </w:pPr>
            <w:r>
              <w:rPr>
                <w:rFonts w:hint="eastAsia"/>
                <w:sz w:val="28"/>
                <w:szCs w:val="28"/>
              </w:rPr>
              <w:t>国家重大战略需求专业：核工程与核技术</w:t>
            </w:r>
          </w:p>
        </w:tc>
      </w:tr>
      <w:tr w:rsidR="00AE31DC">
        <w:tc>
          <w:tcPr>
            <w:tcW w:w="8472" w:type="dxa"/>
            <w:gridSpan w:val="2"/>
            <w:shd w:val="clear" w:color="auto" w:fill="A6A6A6" w:themeFill="background1" w:themeFillShade="A6"/>
          </w:tcPr>
          <w:p w:rsidR="00AE31DC" w:rsidRDefault="00AA60CD">
            <w:pPr>
              <w:ind w:firstLineChars="0" w:firstLine="0"/>
              <w:jc w:val="center"/>
              <w:rPr>
                <w:sz w:val="28"/>
                <w:szCs w:val="28"/>
              </w:rPr>
            </w:pPr>
            <w:r>
              <w:rPr>
                <w:rFonts w:hint="eastAsia"/>
                <w:sz w:val="28"/>
                <w:szCs w:val="28"/>
              </w:rPr>
              <w:t>培养管理学院：能源与环境学院</w:t>
            </w:r>
          </w:p>
        </w:tc>
      </w:tr>
      <w:tr w:rsidR="00AE31DC">
        <w:tc>
          <w:tcPr>
            <w:tcW w:w="8472" w:type="dxa"/>
            <w:gridSpan w:val="2"/>
            <w:shd w:val="clear" w:color="auto" w:fill="A6A6A6" w:themeFill="background1" w:themeFillShade="A6"/>
          </w:tcPr>
          <w:p w:rsidR="00AE31DC" w:rsidRDefault="00AA60CD">
            <w:pPr>
              <w:ind w:firstLineChars="0" w:firstLine="0"/>
              <w:rPr>
                <w:sz w:val="28"/>
                <w:szCs w:val="28"/>
              </w:rPr>
            </w:pPr>
            <w:r>
              <w:rPr>
                <w:rFonts w:hint="eastAsia"/>
                <w:sz w:val="28"/>
                <w:szCs w:val="28"/>
              </w:rPr>
              <w:t xml:space="preserve">咨询联系人：蒯老师 </w:t>
            </w:r>
            <w:r>
              <w:rPr>
                <w:sz w:val="28"/>
                <w:szCs w:val="28"/>
              </w:rPr>
              <w:t xml:space="preserve">  咨询</w:t>
            </w:r>
            <w:r>
              <w:rPr>
                <w:rFonts w:hint="eastAsia"/>
                <w:sz w:val="28"/>
                <w:szCs w:val="28"/>
              </w:rPr>
              <w:t>Q</w:t>
            </w:r>
            <w:r>
              <w:rPr>
                <w:sz w:val="28"/>
                <w:szCs w:val="28"/>
              </w:rPr>
              <w:t>Q群号：</w:t>
            </w:r>
            <w:r>
              <w:rPr>
                <w:rFonts w:hint="eastAsia"/>
                <w:sz w:val="28"/>
                <w:szCs w:val="28"/>
              </w:rPr>
              <w:t>1097467108</w:t>
            </w:r>
          </w:p>
          <w:p w:rsidR="00AE31DC" w:rsidRDefault="00AA60CD">
            <w:pPr>
              <w:ind w:firstLineChars="0" w:firstLine="0"/>
              <w:rPr>
                <w:sz w:val="28"/>
                <w:szCs w:val="28"/>
              </w:rPr>
            </w:pPr>
            <w:r>
              <w:rPr>
                <w:rFonts w:hint="eastAsia"/>
                <w:sz w:val="28"/>
                <w:szCs w:val="28"/>
              </w:rPr>
              <w:t>核科学与技术系支部书记：张彪   手机号码：15850665826</w:t>
            </w:r>
          </w:p>
          <w:p w:rsidR="00AE31DC" w:rsidRDefault="00AA60CD">
            <w:pPr>
              <w:spacing w:line="240" w:lineRule="auto"/>
              <w:ind w:firstLineChars="0" w:firstLine="0"/>
              <w:rPr>
                <w:sz w:val="28"/>
                <w:szCs w:val="28"/>
              </w:rPr>
            </w:pPr>
            <w:r>
              <w:rPr>
                <w:rFonts w:hint="eastAsia"/>
                <w:sz w:val="28"/>
                <w:szCs w:val="28"/>
              </w:rPr>
              <w:t>核科学与技术系主任：黄军林     手机号码：13851965576</w:t>
            </w:r>
          </w:p>
        </w:tc>
      </w:tr>
      <w:tr w:rsidR="00AE31DC">
        <w:tc>
          <w:tcPr>
            <w:tcW w:w="959" w:type="dxa"/>
          </w:tcPr>
          <w:p w:rsidR="00AE31DC" w:rsidRDefault="00AA60CD">
            <w:pPr>
              <w:ind w:firstLineChars="0" w:firstLine="0"/>
            </w:pPr>
            <w:r>
              <w:rPr>
                <w:rFonts w:hint="eastAsia"/>
              </w:rPr>
              <w:t>选拔报名条件</w:t>
            </w:r>
          </w:p>
        </w:tc>
        <w:tc>
          <w:tcPr>
            <w:tcW w:w="7513" w:type="dxa"/>
          </w:tcPr>
          <w:p w:rsidR="00AE31DC" w:rsidRDefault="00AA60CD">
            <w:pPr>
              <w:ind w:firstLineChars="0" w:firstLine="0"/>
            </w:pPr>
            <w:r>
              <w:rPr>
                <w:rFonts w:hint="eastAsia"/>
              </w:rPr>
              <w:t>理工类（高考综合改革省份选考科目含</w:t>
            </w:r>
            <w:r w:rsidRPr="0035191A">
              <w:rPr>
                <w:rFonts w:hint="eastAsia"/>
                <w:highlight w:val="yellow"/>
              </w:rPr>
              <w:t>物理</w:t>
            </w:r>
            <w:r>
              <w:rPr>
                <w:rFonts w:hint="eastAsia"/>
              </w:rPr>
              <w:t>）</w:t>
            </w:r>
            <w:r>
              <w:t>202</w:t>
            </w:r>
            <w:r>
              <w:rPr>
                <w:rFonts w:hint="eastAsia"/>
              </w:rPr>
              <w:t>6</w:t>
            </w:r>
            <w:r>
              <w:t>级新生。</w:t>
            </w:r>
          </w:p>
        </w:tc>
      </w:tr>
      <w:tr w:rsidR="00AE31DC">
        <w:tc>
          <w:tcPr>
            <w:tcW w:w="959" w:type="dxa"/>
          </w:tcPr>
          <w:p w:rsidR="00AE31DC" w:rsidRDefault="00AA60CD">
            <w:pPr>
              <w:ind w:firstLineChars="0" w:firstLine="0"/>
            </w:pPr>
            <w:r>
              <w:rPr>
                <w:rFonts w:hint="eastAsia"/>
              </w:rPr>
              <w:t>选拔考核要求</w:t>
            </w:r>
          </w:p>
        </w:tc>
        <w:tc>
          <w:tcPr>
            <w:tcW w:w="7513" w:type="dxa"/>
          </w:tcPr>
          <w:p w:rsidR="00AE31DC" w:rsidRDefault="00AA60CD">
            <w:pPr>
              <w:ind w:firstLineChars="0" w:firstLine="0"/>
            </w:pPr>
            <w:r>
              <w:rPr>
                <w:rFonts w:hint="eastAsia"/>
              </w:rPr>
              <w:t>（</w:t>
            </w:r>
            <w:r>
              <w:t>1）初试：笔试科目为</w:t>
            </w:r>
            <w:r w:rsidRPr="0035191A">
              <w:rPr>
                <w:rFonts w:ascii="宋体" w:hAnsi="宋体" w:hint="eastAsia"/>
                <w:color w:val="000000"/>
                <w:highlight w:val="yellow"/>
                <w:shd w:val="clear" w:color="auto" w:fill="FFFFFF"/>
              </w:rPr>
              <w:t>数理基础</w:t>
            </w:r>
            <w:r>
              <w:rPr>
                <w:rFonts w:ascii="宋体" w:hAnsi="宋体" w:hint="eastAsia"/>
                <w:color w:val="000000"/>
                <w:shd w:val="clear" w:color="auto" w:fill="FFFFFF"/>
              </w:rPr>
              <w:t>（满分100分，数学和物理各占50%)</w:t>
            </w:r>
            <w:r>
              <w:t>，由教务处统一组织。</w:t>
            </w:r>
            <w:r>
              <w:rPr>
                <w:rFonts w:hAnsi="宋体" w:hint="eastAsia"/>
              </w:rPr>
              <w:t>笔试成绩低于50分的考生，不得进入复试。</w:t>
            </w:r>
          </w:p>
          <w:p w:rsidR="00AE31DC" w:rsidRDefault="00AA60CD">
            <w:pPr>
              <w:ind w:firstLineChars="0" w:firstLine="0"/>
            </w:pPr>
            <w:r>
              <w:rPr>
                <w:rFonts w:hint="eastAsia"/>
              </w:rPr>
              <w:t>（</w:t>
            </w:r>
            <w:r>
              <w:t>2）复试：根据初试成绩从高到低排序，</w:t>
            </w:r>
            <w:r>
              <w:rPr>
                <w:rFonts w:hint="eastAsia"/>
              </w:rPr>
              <w:t>按照不超过</w:t>
            </w:r>
            <w:r>
              <w:t>1:2的差额比例确定复试名单，末位同分者均可进入复试。由</w:t>
            </w:r>
            <w:r>
              <w:rPr>
                <w:rFonts w:hint="eastAsia"/>
              </w:rPr>
              <w:t>能源与环境学院组织</w:t>
            </w:r>
            <w:proofErr w:type="gramStart"/>
            <w:r>
              <w:rPr>
                <w:rFonts w:hint="eastAsia"/>
              </w:rPr>
              <w:t>面试组</w:t>
            </w:r>
            <w:proofErr w:type="gramEnd"/>
            <w:r>
              <w:rPr>
                <w:rFonts w:hint="eastAsia"/>
              </w:rPr>
              <w:t>进行</w:t>
            </w:r>
            <w:r>
              <w:t>分组面试，考核英语能力、综合能力。成绩组成为英语能力40分，综合能力60分。</w:t>
            </w:r>
          </w:p>
          <w:p w:rsidR="00AE31DC" w:rsidRDefault="00AA60CD">
            <w:pPr>
              <w:ind w:firstLineChars="0" w:firstLine="0"/>
            </w:pPr>
            <w:r>
              <w:rPr>
                <w:rFonts w:hint="eastAsia"/>
              </w:rPr>
              <w:t>（</w:t>
            </w:r>
            <w:r>
              <w:t>3）综合成绩计算办法：综合成绩=初试</w:t>
            </w:r>
            <w:r>
              <w:rPr>
                <w:rFonts w:ascii="Arial" w:hAnsi="Arial" w:cs="Arial"/>
              </w:rPr>
              <w:t>×</w:t>
            </w:r>
            <w:r>
              <w:t>60%+复试</w:t>
            </w:r>
            <w:r>
              <w:rPr>
                <w:rFonts w:ascii="Arial" w:hAnsi="Arial" w:cs="Arial"/>
              </w:rPr>
              <w:t>×</w:t>
            </w:r>
            <w:r>
              <w:t>40%。</w:t>
            </w:r>
          </w:p>
          <w:p w:rsidR="00AE31DC" w:rsidRDefault="00AA60CD" w:rsidP="001A2332">
            <w:pPr>
              <w:ind w:firstLineChars="0" w:firstLine="0"/>
            </w:pPr>
            <w:r>
              <w:rPr>
                <w:rFonts w:hint="eastAsia"/>
              </w:rPr>
              <w:t>（</w:t>
            </w:r>
            <w:r>
              <w:t>4）录取：</w:t>
            </w:r>
            <w:bookmarkStart w:id="0" w:name="OLE_LINK16"/>
            <w:r>
              <w:rPr>
                <w:rFonts w:hAnsi="宋体" w:hint="eastAsia"/>
              </w:rPr>
              <w:t>对于</w:t>
            </w:r>
            <w:r w:rsidR="001A2332">
              <w:rPr>
                <w:rFonts w:hAnsi="宋体" w:hint="eastAsia"/>
              </w:rPr>
              <w:t>复试</w:t>
            </w:r>
            <w:r>
              <w:rPr>
                <w:rFonts w:hAnsi="宋体" w:hint="eastAsia"/>
              </w:rPr>
              <w:t>成绩在80分及以上的考生，按综合成绩排序，择优录取不超过15人，</w:t>
            </w:r>
            <w:bookmarkStart w:id="1" w:name="OLE_LINK8"/>
            <w:bookmarkStart w:id="2" w:name="OLE_LINK19"/>
            <w:r>
              <w:rPr>
                <w:rFonts w:hAnsi="宋体" w:hint="eastAsia"/>
              </w:rPr>
              <w:t>末位同分者，</w:t>
            </w:r>
            <w:bookmarkStart w:id="3" w:name="OLE_LINK17"/>
            <w:r>
              <w:rPr>
                <w:rFonts w:ascii="宋体" w:eastAsia="宋体" w:hAnsi="宋体" w:hint="eastAsia"/>
              </w:rPr>
              <w:t>优先录取初试成绩较高的考生</w:t>
            </w:r>
            <w:bookmarkEnd w:id="1"/>
            <w:bookmarkEnd w:id="3"/>
            <w:r>
              <w:rPr>
                <w:rFonts w:ascii="宋体" w:hAnsi="宋体" w:hint="eastAsia"/>
              </w:rPr>
              <w:t>；</w:t>
            </w:r>
            <w:bookmarkEnd w:id="2"/>
            <w:r>
              <w:rPr>
                <w:rFonts w:hAnsi="宋体" w:hint="eastAsia"/>
              </w:rPr>
              <w:t>对于</w:t>
            </w:r>
            <w:r w:rsidR="001A2332">
              <w:rPr>
                <w:rFonts w:hAnsi="宋体" w:hint="eastAsia"/>
              </w:rPr>
              <w:t>复试</w:t>
            </w:r>
            <w:bookmarkStart w:id="4" w:name="_GoBack"/>
            <w:bookmarkEnd w:id="4"/>
            <w:r>
              <w:rPr>
                <w:rFonts w:hAnsi="宋体" w:hint="eastAsia"/>
              </w:rPr>
              <w:t>成绩低于80分的考生，不予录取。</w:t>
            </w:r>
            <w:bookmarkEnd w:id="0"/>
          </w:p>
        </w:tc>
      </w:tr>
    </w:tbl>
    <w:p w:rsidR="00AE31DC" w:rsidRDefault="00AE31DC">
      <w:pPr>
        <w:ind w:firstLine="480"/>
      </w:pPr>
    </w:p>
    <w:p w:rsidR="00AE31DC" w:rsidRDefault="00AA60CD">
      <w:pPr>
        <w:ind w:firstLineChars="0" w:firstLine="0"/>
        <w:jc w:val="center"/>
        <w:rPr>
          <w:sz w:val="28"/>
          <w:szCs w:val="28"/>
        </w:rPr>
      </w:pPr>
      <w:r>
        <w:rPr>
          <w:rFonts w:hint="eastAsia"/>
          <w:sz w:val="28"/>
          <w:szCs w:val="28"/>
        </w:rPr>
        <w:t>项目简介</w:t>
      </w:r>
    </w:p>
    <w:p w:rsidR="00AE31DC" w:rsidRDefault="00AA60CD">
      <w:pPr>
        <w:pStyle w:val="a6"/>
        <w:widowControl/>
        <w:shd w:val="clear" w:color="auto" w:fill="FFFFFF"/>
        <w:spacing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核科技是国家安全的重要基石，是能源革命的战略高地，也是大国博弈中必须牢牢把握的必争领域。东南大学核工程与核技术专业面向国家“双碳”目标与国防重大需求，依托一流学科平台和前沿交叉培养体系，致力于塑造引领未来核工业技术变革的战略型领军人才。热忱欢迎2026级优秀学子加入这支承载荣光、开创未来的“东大核力量”。</w:t>
      </w:r>
    </w:p>
    <w:p w:rsidR="00AE31DC" w:rsidRDefault="00AA60CD" w:rsidP="0035191A">
      <w:pPr>
        <w:pStyle w:val="a6"/>
        <w:widowControl/>
        <w:shd w:val="clear" w:color="auto" w:fill="FFFFFF"/>
        <w:spacing w:beforeLines="50" w:before="156"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lastRenderedPageBreak/>
        <w:t>一、专业定位与一流平台</w:t>
      </w:r>
    </w:p>
    <w:p w:rsidR="00AE31DC" w:rsidRDefault="00AA60CD">
      <w:pPr>
        <w:pStyle w:val="a6"/>
        <w:widowControl/>
        <w:shd w:val="clear" w:color="auto" w:fill="FFFFFF"/>
        <w:spacing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东南大学核工程与核技术专业创建于2011年，现为国家一流本科专业和江苏省品牌专业建设点。专业建设深度依托大型发电装备安全运行与智能测控国家工程研究中心、能源热转换及其过程测控</w:t>
      </w:r>
      <w:proofErr w:type="gramStart"/>
      <w:r>
        <w:rPr>
          <w:rFonts w:ascii="仿宋_GB2312" w:eastAsia="仿宋_GB2312" w:hAnsi="仿宋_GB2312" w:cs="仿宋_GB2312" w:hint="eastAsia"/>
          <w:sz w:val="31"/>
          <w:szCs w:val="31"/>
          <w:shd w:val="clear" w:color="auto" w:fill="FFFFFF"/>
        </w:rPr>
        <w:t>教育部重点实验室以及教育部零碳能源</w:t>
      </w:r>
      <w:proofErr w:type="gramEnd"/>
      <w:r>
        <w:rPr>
          <w:rFonts w:ascii="仿宋_GB2312" w:eastAsia="仿宋_GB2312" w:hAnsi="仿宋_GB2312" w:cs="仿宋_GB2312" w:hint="eastAsia"/>
          <w:sz w:val="31"/>
          <w:szCs w:val="31"/>
          <w:shd w:val="clear" w:color="auto" w:fill="FFFFFF"/>
        </w:rPr>
        <w:t>国际合作联合实验室等一流平台，聚焦核能智慧运行、先进核动力系统、小型核电源等前沿方向，并将人工智能、智能测控、数字</w:t>
      </w:r>
      <w:proofErr w:type="gramStart"/>
      <w:r>
        <w:rPr>
          <w:rFonts w:ascii="仿宋_GB2312" w:eastAsia="仿宋_GB2312" w:hAnsi="仿宋_GB2312" w:cs="仿宋_GB2312" w:hint="eastAsia"/>
          <w:sz w:val="31"/>
          <w:szCs w:val="31"/>
          <w:shd w:val="clear" w:color="auto" w:fill="FFFFFF"/>
        </w:rPr>
        <w:t>孪生等</w:t>
      </w:r>
      <w:proofErr w:type="gramEnd"/>
      <w:r>
        <w:rPr>
          <w:rFonts w:ascii="仿宋_GB2312" w:eastAsia="仿宋_GB2312" w:hAnsi="仿宋_GB2312" w:cs="仿宋_GB2312" w:hint="eastAsia"/>
          <w:sz w:val="31"/>
          <w:szCs w:val="31"/>
          <w:shd w:val="clear" w:color="auto" w:fill="FFFFFF"/>
        </w:rPr>
        <w:t>技术深度融入教学与科研，构建起“核能+智能”的学科新生态。在这里，每位学子都能站在科技变革的最前沿，直面国家重大工程中的真实挑战。</w:t>
      </w:r>
    </w:p>
    <w:p w:rsidR="00AE31DC" w:rsidRDefault="00AA60CD" w:rsidP="0035191A">
      <w:pPr>
        <w:pStyle w:val="a6"/>
        <w:widowControl/>
        <w:shd w:val="clear" w:color="auto" w:fill="FFFFFF"/>
        <w:spacing w:beforeLines="50" w:before="156"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二、“厚基础+双导师”的人才培养特色</w:t>
      </w:r>
    </w:p>
    <w:p w:rsidR="00AE31DC" w:rsidRDefault="00AA60CD">
      <w:pPr>
        <w:pStyle w:val="a6"/>
        <w:widowControl/>
        <w:shd w:val="clear" w:color="auto" w:fill="FFFFFF"/>
        <w:spacing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在人才培养上，坚持宽厚基础与精准引导并重。主干课程贯通核科学与技术、动力工程及工程热物理、控制科学与工程、仪器科学与技术、材料科学与工程等多个一级学科，为学生打造复合型的知识架构。师资队伍汇聚了三位国家级领军人才、两位国家级青年人才和四位省级人才，杰出学者与行业总师亲临课堂，既传授前沿理论，也传递工程实践的深邃洞见。在本科阶段即为每位学生配备学术导师</w:t>
      </w:r>
      <w:proofErr w:type="gramStart"/>
      <w:r>
        <w:rPr>
          <w:rFonts w:ascii="仿宋_GB2312" w:eastAsia="仿宋_GB2312" w:hAnsi="仿宋_GB2312" w:cs="仿宋_GB2312" w:hint="eastAsia"/>
          <w:sz w:val="31"/>
          <w:szCs w:val="31"/>
          <w:shd w:val="clear" w:color="auto" w:fill="FFFFFF"/>
        </w:rPr>
        <w:t>与央企</w:t>
      </w:r>
      <w:proofErr w:type="gramEnd"/>
      <w:r>
        <w:rPr>
          <w:rFonts w:ascii="仿宋_GB2312" w:eastAsia="仿宋_GB2312" w:hAnsi="仿宋_GB2312" w:cs="仿宋_GB2312" w:hint="eastAsia"/>
          <w:sz w:val="31"/>
          <w:szCs w:val="31"/>
          <w:shd w:val="clear" w:color="auto" w:fill="FFFFFF"/>
        </w:rPr>
        <w:t>导师组成的“双导师”体系，学术导师引领科研方向，</w:t>
      </w:r>
      <w:proofErr w:type="gramStart"/>
      <w:r>
        <w:rPr>
          <w:rFonts w:ascii="仿宋_GB2312" w:eastAsia="仿宋_GB2312" w:hAnsi="仿宋_GB2312" w:cs="仿宋_GB2312" w:hint="eastAsia"/>
          <w:sz w:val="31"/>
          <w:szCs w:val="31"/>
          <w:shd w:val="clear" w:color="auto" w:fill="FFFFFF"/>
        </w:rPr>
        <w:t>央企导师</w:t>
      </w:r>
      <w:proofErr w:type="gramEnd"/>
      <w:r>
        <w:rPr>
          <w:rFonts w:ascii="仿宋_GB2312" w:eastAsia="仿宋_GB2312" w:hAnsi="仿宋_GB2312" w:cs="仿宋_GB2312" w:hint="eastAsia"/>
          <w:sz w:val="31"/>
          <w:szCs w:val="31"/>
          <w:shd w:val="clear" w:color="auto" w:fill="FFFFFF"/>
        </w:rPr>
        <w:t>对接行业动态，帮助学生及早把握国际学术前沿与产业真实需求，前瞻规划职业生涯。设立“华立聚能核能领军英才奖学金”，专项激励核工程与核技术专业学生，并同步设置“创新创业实践项目”，支持</w:t>
      </w:r>
      <w:r>
        <w:rPr>
          <w:rFonts w:ascii="仿宋_GB2312" w:eastAsia="仿宋_GB2312" w:hAnsi="仿宋_GB2312" w:cs="仿宋_GB2312" w:hint="eastAsia"/>
          <w:sz w:val="31"/>
          <w:szCs w:val="31"/>
          <w:shd w:val="clear" w:color="auto" w:fill="FFFFFF"/>
        </w:rPr>
        <w:lastRenderedPageBreak/>
        <w:t>学生自主立项、科研探索和创业实践，让每一份创新构想都能获得充足的养分与坚实的支撑。</w:t>
      </w:r>
    </w:p>
    <w:p w:rsidR="00AE31DC" w:rsidRDefault="00AA60CD" w:rsidP="0035191A">
      <w:pPr>
        <w:pStyle w:val="a6"/>
        <w:widowControl/>
        <w:shd w:val="clear" w:color="auto" w:fill="FFFFFF"/>
        <w:spacing w:beforeLines="50" w:before="156"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三、育人成果与发展前景</w:t>
      </w:r>
    </w:p>
    <w:p w:rsidR="00AE31DC" w:rsidRDefault="00AA60CD">
      <w:pPr>
        <w:pStyle w:val="a6"/>
        <w:widowControl/>
        <w:shd w:val="clear" w:color="auto" w:fill="FFFFFF"/>
        <w:spacing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近年来，东南大学核工程与核技术专业学生在多项高水平学科竞赛中屡创佳绩，近三年累计斩获全国大学生数学竞赛（非数学类）一等奖、全国周培源大学生力学竞赛基础力学实验团体赛特等奖及个人赛一等奖、全国大学生节能减排社会实践与科技竞赛一等奖、江苏省高校核工程类专业本科优秀毕业设计一等奖等省部级以上奖项20余项，彰显了扎实的学术功底与创新活力。在升学与就业方面，本科保</w:t>
      </w:r>
      <w:proofErr w:type="gramStart"/>
      <w:r>
        <w:rPr>
          <w:rFonts w:ascii="仿宋_GB2312" w:eastAsia="仿宋_GB2312" w:hAnsi="仿宋_GB2312" w:cs="仿宋_GB2312" w:hint="eastAsia"/>
          <w:sz w:val="31"/>
          <w:szCs w:val="31"/>
          <w:shd w:val="clear" w:color="auto" w:fill="FFFFFF"/>
        </w:rPr>
        <w:t>研</w:t>
      </w:r>
      <w:proofErr w:type="gramEnd"/>
      <w:r>
        <w:rPr>
          <w:rFonts w:ascii="仿宋_GB2312" w:eastAsia="仿宋_GB2312" w:hAnsi="仿宋_GB2312" w:cs="仿宋_GB2312" w:hint="eastAsia"/>
          <w:sz w:val="31"/>
          <w:szCs w:val="31"/>
          <w:shd w:val="clear" w:color="auto" w:fill="FFFFFF"/>
        </w:rPr>
        <w:t>率稳定在30%左右，众多学子进入清华大学、东南大学、西安交通大学、上海交通大学、中国科学技术大学及海外顶尖院校继续深造；毕业生主要入职中核集团、中广核集团、国家电投、中国船舶等头部央企，个人发展与国家需求紧密交织，职业前景坚实而广阔。</w:t>
      </w:r>
    </w:p>
    <w:p w:rsidR="00AE31DC" w:rsidRDefault="00AA60CD" w:rsidP="0035191A">
      <w:pPr>
        <w:pStyle w:val="a6"/>
        <w:widowControl/>
        <w:shd w:val="clear" w:color="auto" w:fill="FFFFFF"/>
        <w:spacing w:beforeLines="50" w:before="156"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四、薪火相传，</w:t>
      </w:r>
      <w:proofErr w:type="gramStart"/>
      <w:r>
        <w:rPr>
          <w:rFonts w:ascii="仿宋_GB2312" w:eastAsia="仿宋_GB2312" w:hAnsi="仿宋_GB2312" w:cs="仿宋_GB2312" w:hint="eastAsia"/>
          <w:sz w:val="31"/>
          <w:szCs w:val="31"/>
          <w:shd w:val="clear" w:color="auto" w:fill="FFFFFF"/>
        </w:rPr>
        <w:t>强核报国</w:t>
      </w:r>
      <w:proofErr w:type="gramEnd"/>
    </w:p>
    <w:p w:rsidR="00AE31DC" w:rsidRDefault="00AA60CD">
      <w:pPr>
        <w:pStyle w:val="a6"/>
        <w:widowControl/>
        <w:shd w:val="clear" w:color="auto" w:fill="FFFFFF"/>
        <w:spacing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回望历史，东大核工的血脉中始终奔涌着“为国铸剑”的赤诚。从国立中央大学时期赵忠尧、吴健雄先生的先驱探索，到黄纬禄院士、赵仁恺院士、于俊崇院士等杰出校友为我国核潜艇与核动力事业建立的卓越功勋，一代代东大人将个人理想融入国家命运。如今，一大批中青年校友奋战在核电设计、核安全监管、新型核动力装备研发等一线岗位，成为行业不可或缺的骨干力量。近五年来，核科学与技术系教师团队作为核心</w:t>
      </w:r>
      <w:r>
        <w:rPr>
          <w:rFonts w:ascii="仿宋_GB2312" w:eastAsia="仿宋_GB2312" w:hAnsi="仿宋_GB2312" w:cs="仿宋_GB2312" w:hint="eastAsia"/>
          <w:sz w:val="31"/>
          <w:szCs w:val="31"/>
          <w:shd w:val="clear" w:color="auto" w:fill="FFFFFF"/>
        </w:rPr>
        <w:lastRenderedPageBreak/>
        <w:t>力量，荣获中核集团科学技术特等奖一项、国防技术发明一等奖一项，以及江苏省科学技术二等奖和四川省科技进步二等奖各一项。这些积淀，正是新一代东大核工人接续前行的底气所在。当前，中国核工业正迎来前所未有的战略机遇期，我们呼唤新一代“东大核工人”在此触摸大国重器的脉搏，参与定义未来能源的新形态；你们收获的不仅是知识与能力，更是一份沉甸甸的家国情怀与时代担当。</w:t>
      </w:r>
    </w:p>
    <w:p w:rsidR="00AE31DC" w:rsidRDefault="00AA60CD" w:rsidP="0035191A">
      <w:pPr>
        <w:pStyle w:val="a6"/>
        <w:widowControl/>
        <w:shd w:val="clear" w:color="auto" w:fill="FFFFFF"/>
        <w:spacing w:beforeLines="50" w:before="156"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五、选拔安排与报名信息</w:t>
      </w:r>
    </w:p>
    <w:p w:rsidR="00AE31DC" w:rsidRDefault="00AA60CD">
      <w:pPr>
        <w:pStyle w:val="a6"/>
        <w:widowControl/>
        <w:shd w:val="clear" w:color="auto" w:fill="FFFFFF"/>
        <w:spacing w:beforeAutospacing="0" w:afterAutospacing="0" w:line="600" w:lineRule="atLeast"/>
        <w:ind w:firstLine="620"/>
        <w:jc w:val="both"/>
        <w:rPr>
          <w:rFonts w:ascii="仿宋_GB2312" w:eastAsia="仿宋_GB2312" w:hAnsi="仿宋_GB2312" w:cs="仿宋_GB2312"/>
          <w:sz w:val="31"/>
          <w:szCs w:val="31"/>
          <w:shd w:val="clear" w:color="auto" w:fill="FFFFFF"/>
        </w:rPr>
      </w:pPr>
      <w:r>
        <w:rPr>
          <w:rFonts w:ascii="仿宋_GB2312" w:eastAsia="仿宋_GB2312" w:hAnsi="仿宋_GB2312" w:cs="仿宋_GB2312" w:hint="eastAsia"/>
          <w:sz w:val="31"/>
          <w:szCs w:val="31"/>
          <w:shd w:val="clear" w:color="auto" w:fill="FFFFFF"/>
        </w:rPr>
        <w:t>本次二次选拔面向东南大学2026级本科新生，期待热爱核能事业、数理基础扎实、具有创新潜质与家国情怀的同学踊跃报名。加入我们，就是选择与国家战略同频，与科技前沿共振。东南大学核工程与核技术专业期待与你并肩同行，共同书写中国核工业的下一个辉煌。</w:t>
      </w:r>
    </w:p>
    <w:p w:rsidR="00AE31DC" w:rsidRDefault="00AE31DC">
      <w:pPr>
        <w:ind w:firstLine="560"/>
        <w:jc w:val="center"/>
        <w:rPr>
          <w:sz w:val="28"/>
          <w:szCs w:val="28"/>
        </w:rPr>
      </w:pPr>
    </w:p>
    <w:sectPr w:rsidR="00AE31DC">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3AF" w:rsidRDefault="005053AF">
      <w:pPr>
        <w:spacing w:line="240" w:lineRule="auto"/>
        <w:ind w:firstLine="480"/>
      </w:pPr>
      <w:r>
        <w:separator/>
      </w:r>
    </w:p>
  </w:endnote>
  <w:endnote w:type="continuationSeparator" w:id="0">
    <w:p w:rsidR="005053AF" w:rsidRDefault="005053A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DC" w:rsidRDefault="00AE31DC">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DC" w:rsidRDefault="00AE31DC">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DC" w:rsidRDefault="00AE31D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3AF" w:rsidRDefault="005053AF">
      <w:pPr>
        <w:ind w:firstLine="480"/>
      </w:pPr>
      <w:r>
        <w:separator/>
      </w:r>
    </w:p>
  </w:footnote>
  <w:footnote w:type="continuationSeparator" w:id="0">
    <w:p w:rsidR="005053AF" w:rsidRDefault="005053AF">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DC" w:rsidRDefault="00AE31D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DC" w:rsidRDefault="00AE31D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DC" w:rsidRDefault="00AE31D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66B"/>
    <w:rsid w:val="CFD7973A"/>
    <w:rsid w:val="D3CF143D"/>
    <w:rsid w:val="FEF7FFA2"/>
    <w:rsid w:val="FEFF224C"/>
    <w:rsid w:val="00025CD7"/>
    <w:rsid w:val="00131183"/>
    <w:rsid w:val="00172D5C"/>
    <w:rsid w:val="001A2332"/>
    <w:rsid w:val="00272E22"/>
    <w:rsid w:val="002A3F7C"/>
    <w:rsid w:val="0035191A"/>
    <w:rsid w:val="00440094"/>
    <w:rsid w:val="004901EA"/>
    <w:rsid w:val="004D5DCC"/>
    <w:rsid w:val="004E596C"/>
    <w:rsid w:val="005053AF"/>
    <w:rsid w:val="005E4DE5"/>
    <w:rsid w:val="006062B4"/>
    <w:rsid w:val="0072003A"/>
    <w:rsid w:val="00773AE9"/>
    <w:rsid w:val="008F661C"/>
    <w:rsid w:val="00982E94"/>
    <w:rsid w:val="00AA60CD"/>
    <w:rsid w:val="00AE31DC"/>
    <w:rsid w:val="00AF4824"/>
    <w:rsid w:val="00B12BCF"/>
    <w:rsid w:val="00B56827"/>
    <w:rsid w:val="00BE166B"/>
    <w:rsid w:val="00C7623A"/>
    <w:rsid w:val="00CE6FB4"/>
    <w:rsid w:val="00D6344A"/>
    <w:rsid w:val="00DE7960"/>
    <w:rsid w:val="00EE245E"/>
    <w:rsid w:val="00EF16E8"/>
    <w:rsid w:val="00F45714"/>
    <w:rsid w:val="0112398F"/>
    <w:rsid w:val="012A0989"/>
    <w:rsid w:val="01412742"/>
    <w:rsid w:val="02E35293"/>
    <w:rsid w:val="0375018B"/>
    <w:rsid w:val="05981D2C"/>
    <w:rsid w:val="05D71016"/>
    <w:rsid w:val="06EA0FD8"/>
    <w:rsid w:val="07716FC5"/>
    <w:rsid w:val="078D5B51"/>
    <w:rsid w:val="07A52DB9"/>
    <w:rsid w:val="0863699F"/>
    <w:rsid w:val="09296316"/>
    <w:rsid w:val="0BFA56BE"/>
    <w:rsid w:val="1264323B"/>
    <w:rsid w:val="12C50511"/>
    <w:rsid w:val="13EA1C3D"/>
    <w:rsid w:val="15347BD0"/>
    <w:rsid w:val="15A9411A"/>
    <w:rsid w:val="1666025D"/>
    <w:rsid w:val="18624A54"/>
    <w:rsid w:val="19D84399"/>
    <w:rsid w:val="1C0A168B"/>
    <w:rsid w:val="1CF3211F"/>
    <w:rsid w:val="1E1C7C59"/>
    <w:rsid w:val="1FD66977"/>
    <w:rsid w:val="2020322B"/>
    <w:rsid w:val="21794B26"/>
    <w:rsid w:val="21D267A7"/>
    <w:rsid w:val="23112215"/>
    <w:rsid w:val="231F5E4E"/>
    <w:rsid w:val="23C977C5"/>
    <w:rsid w:val="24767856"/>
    <w:rsid w:val="25065D21"/>
    <w:rsid w:val="256E4416"/>
    <w:rsid w:val="271E5FEA"/>
    <w:rsid w:val="27C613D6"/>
    <w:rsid w:val="287564C9"/>
    <w:rsid w:val="29347D47"/>
    <w:rsid w:val="297C1D0E"/>
    <w:rsid w:val="2A187669"/>
    <w:rsid w:val="2B9D31DF"/>
    <w:rsid w:val="30792FAE"/>
    <w:rsid w:val="3098505F"/>
    <w:rsid w:val="33D71B8A"/>
    <w:rsid w:val="34FD4E2A"/>
    <w:rsid w:val="36E27034"/>
    <w:rsid w:val="37386830"/>
    <w:rsid w:val="37950109"/>
    <w:rsid w:val="38FD3883"/>
    <w:rsid w:val="39861EF9"/>
    <w:rsid w:val="3C601127"/>
    <w:rsid w:val="3CB52AF5"/>
    <w:rsid w:val="3D712EC0"/>
    <w:rsid w:val="3D8464FE"/>
    <w:rsid w:val="3DA454C8"/>
    <w:rsid w:val="3FAE40C4"/>
    <w:rsid w:val="400D3374"/>
    <w:rsid w:val="402C1320"/>
    <w:rsid w:val="40EA1C0C"/>
    <w:rsid w:val="40EC2BD2"/>
    <w:rsid w:val="421D7172"/>
    <w:rsid w:val="428364F1"/>
    <w:rsid w:val="42D40179"/>
    <w:rsid w:val="42E3216A"/>
    <w:rsid w:val="43BE6733"/>
    <w:rsid w:val="45966A1B"/>
    <w:rsid w:val="47C05A64"/>
    <w:rsid w:val="48111527"/>
    <w:rsid w:val="48495422"/>
    <w:rsid w:val="49912642"/>
    <w:rsid w:val="4A930919"/>
    <w:rsid w:val="4B615C99"/>
    <w:rsid w:val="4B7B0D29"/>
    <w:rsid w:val="4E1061A1"/>
    <w:rsid w:val="501677F0"/>
    <w:rsid w:val="51B318A1"/>
    <w:rsid w:val="52120376"/>
    <w:rsid w:val="524A3FB4"/>
    <w:rsid w:val="543C5B7E"/>
    <w:rsid w:val="5540344C"/>
    <w:rsid w:val="55FB7373"/>
    <w:rsid w:val="561B17C3"/>
    <w:rsid w:val="56202E7C"/>
    <w:rsid w:val="56827DFA"/>
    <w:rsid w:val="56FF2D86"/>
    <w:rsid w:val="5794159A"/>
    <w:rsid w:val="59172705"/>
    <w:rsid w:val="59B72A94"/>
    <w:rsid w:val="5ABD72ED"/>
    <w:rsid w:val="5ADF54B5"/>
    <w:rsid w:val="5AFE0452"/>
    <w:rsid w:val="5B6A7475"/>
    <w:rsid w:val="5CBB2666"/>
    <w:rsid w:val="5D375134"/>
    <w:rsid w:val="5DF9773E"/>
    <w:rsid w:val="5F5B001B"/>
    <w:rsid w:val="61E15FB7"/>
    <w:rsid w:val="628E6B1A"/>
    <w:rsid w:val="64395C36"/>
    <w:rsid w:val="65982E30"/>
    <w:rsid w:val="68947D20"/>
    <w:rsid w:val="697B2462"/>
    <w:rsid w:val="6BAF4AC6"/>
    <w:rsid w:val="6C022DB1"/>
    <w:rsid w:val="6C735A5D"/>
    <w:rsid w:val="6DEC1F6B"/>
    <w:rsid w:val="6E661B8C"/>
    <w:rsid w:val="6EFD67D6"/>
    <w:rsid w:val="6F1C23DC"/>
    <w:rsid w:val="6FF38F04"/>
    <w:rsid w:val="6FFE1AE2"/>
    <w:rsid w:val="73DE5EB2"/>
    <w:rsid w:val="76EE465E"/>
    <w:rsid w:val="76F9BA5A"/>
    <w:rsid w:val="77471FC0"/>
    <w:rsid w:val="79B160B4"/>
    <w:rsid w:val="7A811C8D"/>
    <w:rsid w:val="7A8F6162"/>
    <w:rsid w:val="7AC04563"/>
    <w:rsid w:val="7AED78D7"/>
    <w:rsid w:val="7FFD9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eastAsiaTheme="minorEastAsia" w:hAnsi="Arial Unicode M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Char"/>
    <w:uiPriority w:val="99"/>
    <w:unhideWhenUsed/>
    <w:qFormat/>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paragraph" w:styleId="a6">
    <w:name w:val="Normal (Web)"/>
    <w:basedOn w:val="a"/>
    <w:uiPriority w:val="99"/>
    <w:semiHidden/>
    <w:unhideWhenUsed/>
    <w:qFormat/>
    <w:pPr>
      <w:spacing w:beforeAutospacing="1" w:afterAutospacing="1"/>
      <w:jc w:val="left"/>
    </w:pPr>
    <w:rPr>
      <w:kern w:val="0"/>
    </w:rPr>
  </w:style>
  <w:style w:type="table" w:styleId="a7">
    <w:name w:val="Table Grid"/>
    <w:basedOn w:val="a1"/>
    <w:uiPriority w:val="39"/>
    <w:qFormat/>
    <w:rPr>
      <w:rFonts w:asciiTheme="minorEastAsia"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Pr>
      <w:b/>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eastAsiaTheme="minorEastAsia" w:hAnsi="Arial Unicode M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Char"/>
    <w:uiPriority w:val="99"/>
    <w:unhideWhenUsed/>
    <w:qFormat/>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paragraph" w:styleId="a6">
    <w:name w:val="Normal (Web)"/>
    <w:basedOn w:val="a"/>
    <w:uiPriority w:val="99"/>
    <w:semiHidden/>
    <w:unhideWhenUsed/>
    <w:qFormat/>
    <w:pPr>
      <w:spacing w:beforeAutospacing="1" w:afterAutospacing="1"/>
      <w:jc w:val="left"/>
    </w:pPr>
    <w:rPr>
      <w:kern w:val="0"/>
    </w:rPr>
  </w:style>
  <w:style w:type="table" w:styleId="a7">
    <w:name w:val="Table Grid"/>
    <w:basedOn w:val="a1"/>
    <w:uiPriority w:val="39"/>
    <w:qFormat/>
    <w:rPr>
      <w:rFonts w:asciiTheme="minorEastAsia"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Pr>
      <w:b/>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305</Words>
  <Characters>1740</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3</cp:revision>
  <dcterms:created xsi:type="dcterms:W3CDTF">2026-08-07T07:43:00Z</dcterms:created>
  <dcterms:modified xsi:type="dcterms:W3CDTF">2026-08-08T02:27:00Z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9AB95631067245069DC3208931BEFBA5_13</vt:lpwstr>
  </property>
  <property fmtid="{D5CDD505-2E9C-101B-9397-08002B2CF9AE}" pid="4" name="KSOTemplateDocerSaveRecord">
    <vt:lpwstr>eyJoZGlkIjoiYzFiNWQyNzVmOTE5ZDBjODkxY2QyYTc1NWQwODAwY2UiLCJ1c2VySWQiOiIxMjQzMzM4Mzk2In0=</vt:lpwstr>
  </property>
</Properties>
</file>