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D44D54" w14:textId="77777777" w:rsidR="00F03ED0" w:rsidRDefault="00F03ED0">
      <w:pPr>
        <w:rPr>
          <w:lang w:val="en-US"/>
        </w:rPr>
      </w:pPr>
    </w:p>
    <w:tbl>
      <w:tblPr>
        <w:tblStyle w:val="a5"/>
        <w:tblW w:w="0" w:type="auto"/>
        <w:tblLook w:val="04A0" w:firstRow="1" w:lastRow="0" w:firstColumn="1" w:lastColumn="0" w:noHBand="0" w:noVBand="1"/>
      </w:tblPr>
      <w:tblGrid>
        <w:gridCol w:w="1101"/>
        <w:gridCol w:w="7195"/>
      </w:tblGrid>
      <w:tr w:rsidR="00F03ED0" w14:paraId="011F5B9A" w14:textId="77777777">
        <w:tc>
          <w:tcPr>
            <w:tcW w:w="8296" w:type="dxa"/>
            <w:gridSpan w:val="2"/>
            <w:shd w:val="clear" w:color="auto" w:fill="BFBFBF" w:themeFill="background1" w:themeFillShade="BF"/>
            <w:vAlign w:val="center"/>
          </w:tcPr>
          <w:p w14:paraId="31A77AD0" w14:textId="6E82B359" w:rsidR="00F03ED0" w:rsidRDefault="00DE2C83">
            <w:pPr>
              <w:spacing w:line="360" w:lineRule="auto"/>
              <w:jc w:val="center"/>
              <w:rPr>
                <w:rFonts w:ascii="宋体" w:hAnsi="宋体"/>
                <w:b/>
                <w:sz w:val="28"/>
                <w:szCs w:val="28"/>
              </w:rPr>
            </w:pPr>
            <w:r>
              <w:rPr>
                <w:rFonts w:ascii="宋体" w:hAnsi="宋体" w:hint="eastAsia"/>
                <w:b/>
                <w:sz w:val="28"/>
                <w:szCs w:val="28"/>
              </w:rPr>
              <w:t>日语</w:t>
            </w:r>
            <w:r w:rsidR="00D0736D">
              <w:rPr>
                <w:rFonts w:ascii="宋体" w:hAnsi="宋体" w:hint="eastAsia"/>
                <w:b/>
                <w:sz w:val="28"/>
                <w:szCs w:val="28"/>
              </w:rPr>
              <w:t>（第一专业）</w:t>
            </w:r>
            <w:r w:rsidR="00D0736D">
              <w:rPr>
                <w:rFonts w:ascii="宋体" w:hAnsi="宋体"/>
                <w:b/>
                <w:sz w:val="28"/>
                <w:szCs w:val="28"/>
              </w:rPr>
              <w:t>+</w:t>
            </w:r>
            <w:r>
              <w:rPr>
                <w:rFonts w:ascii="宋体" w:hAnsi="宋体" w:hint="eastAsia"/>
                <w:b/>
                <w:sz w:val="28"/>
                <w:szCs w:val="28"/>
              </w:rPr>
              <w:t>电子科学与技术</w:t>
            </w:r>
            <w:r w:rsidR="00D0736D">
              <w:rPr>
                <w:rFonts w:ascii="宋体" w:hAnsi="宋体"/>
                <w:b/>
                <w:sz w:val="28"/>
                <w:szCs w:val="28"/>
              </w:rPr>
              <w:t>（第二专业）双学士学位项目</w:t>
            </w:r>
          </w:p>
        </w:tc>
      </w:tr>
      <w:tr w:rsidR="00F03ED0" w14:paraId="333761A0" w14:textId="77777777">
        <w:tc>
          <w:tcPr>
            <w:tcW w:w="8296" w:type="dxa"/>
            <w:gridSpan w:val="2"/>
            <w:shd w:val="clear" w:color="auto" w:fill="BFBFBF" w:themeFill="background1" w:themeFillShade="BF"/>
            <w:vAlign w:val="center"/>
          </w:tcPr>
          <w:p w14:paraId="2B09D4D9" w14:textId="77777777" w:rsidR="00F03ED0" w:rsidRDefault="00D0736D">
            <w:pPr>
              <w:spacing w:line="360" w:lineRule="auto"/>
              <w:jc w:val="center"/>
              <w:rPr>
                <w:rFonts w:ascii="宋体" w:hAnsi="宋体"/>
                <w:b/>
                <w:sz w:val="28"/>
                <w:szCs w:val="28"/>
              </w:rPr>
            </w:pPr>
            <w:r>
              <w:rPr>
                <w:rFonts w:ascii="宋体" w:hAnsi="宋体" w:hint="eastAsia"/>
                <w:b/>
                <w:sz w:val="28"/>
                <w:szCs w:val="28"/>
              </w:rPr>
              <w:t>培养管理学院：外国语学院</w:t>
            </w:r>
          </w:p>
        </w:tc>
      </w:tr>
      <w:tr w:rsidR="00F03ED0" w14:paraId="645D7399" w14:textId="77777777">
        <w:tc>
          <w:tcPr>
            <w:tcW w:w="8296" w:type="dxa"/>
            <w:gridSpan w:val="2"/>
            <w:shd w:val="clear" w:color="auto" w:fill="BFBFBF" w:themeFill="background1" w:themeFillShade="BF"/>
            <w:vAlign w:val="center"/>
          </w:tcPr>
          <w:p w14:paraId="6EA8FF77" w14:textId="6BFD0339" w:rsidR="00F03ED0" w:rsidRDefault="00D0736D">
            <w:pPr>
              <w:spacing w:line="360" w:lineRule="auto"/>
              <w:rPr>
                <w:rFonts w:ascii="宋体" w:hAnsi="宋体"/>
                <w:b/>
                <w:sz w:val="28"/>
                <w:szCs w:val="28"/>
              </w:rPr>
            </w:pPr>
            <w:r>
              <w:rPr>
                <w:rFonts w:ascii="宋体" w:hAnsi="宋体"/>
                <w:b/>
                <w:sz w:val="28"/>
                <w:szCs w:val="28"/>
              </w:rPr>
              <w:t xml:space="preserve">  </w:t>
            </w:r>
            <w:r>
              <w:rPr>
                <w:rFonts w:ascii="宋体" w:hAnsi="宋体" w:hint="eastAsia"/>
                <w:b/>
                <w:sz w:val="28"/>
                <w:szCs w:val="28"/>
              </w:rPr>
              <w:t xml:space="preserve">        咨询</w:t>
            </w:r>
            <w:r>
              <w:rPr>
                <w:rFonts w:ascii="宋体" w:hAnsi="宋体"/>
                <w:b/>
                <w:sz w:val="28"/>
                <w:szCs w:val="28"/>
              </w:rPr>
              <w:t>联系人：</w:t>
            </w:r>
            <w:r>
              <w:rPr>
                <w:rFonts w:ascii="宋体" w:hAnsi="宋体" w:hint="eastAsia"/>
                <w:b/>
                <w:sz w:val="28"/>
                <w:szCs w:val="28"/>
              </w:rPr>
              <w:t>杨</w:t>
            </w:r>
            <w:r>
              <w:rPr>
                <w:rFonts w:ascii="宋体" w:hAnsi="宋体"/>
                <w:b/>
                <w:sz w:val="28"/>
                <w:szCs w:val="28"/>
              </w:rPr>
              <w:t xml:space="preserve">老师   </w:t>
            </w:r>
            <w:r>
              <w:rPr>
                <w:rFonts w:ascii="宋体" w:hAnsi="宋体" w:hint="eastAsia"/>
                <w:b/>
                <w:sz w:val="28"/>
                <w:szCs w:val="28"/>
              </w:rPr>
              <w:t xml:space="preserve">    </w:t>
            </w:r>
            <w:r>
              <w:rPr>
                <w:rFonts w:ascii="宋体" w:hAnsi="宋体"/>
                <w:b/>
                <w:sz w:val="28"/>
                <w:szCs w:val="28"/>
              </w:rPr>
              <w:t xml:space="preserve"> 咨询QQ群号：</w:t>
            </w:r>
            <w:r w:rsidR="00EB559B" w:rsidRPr="00EB559B">
              <w:rPr>
                <w:rFonts w:ascii="宋体" w:hAnsi="宋体"/>
                <w:b/>
                <w:sz w:val="28"/>
                <w:szCs w:val="28"/>
              </w:rPr>
              <w:t>1013013362</w:t>
            </w:r>
          </w:p>
        </w:tc>
      </w:tr>
      <w:tr w:rsidR="00F03ED0" w14:paraId="5A43B786" w14:textId="77777777">
        <w:tc>
          <w:tcPr>
            <w:tcW w:w="1101" w:type="dxa"/>
            <w:vAlign w:val="center"/>
          </w:tcPr>
          <w:p w14:paraId="7028A473" w14:textId="77777777" w:rsidR="00F03ED0" w:rsidRDefault="00D0736D">
            <w:pPr>
              <w:spacing w:line="360" w:lineRule="auto"/>
              <w:jc w:val="center"/>
              <w:rPr>
                <w:rFonts w:ascii="宋体" w:hAnsi="宋体"/>
              </w:rPr>
            </w:pPr>
            <w:r>
              <w:rPr>
                <w:rFonts w:ascii="宋体" w:hAnsi="宋体" w:hint="eastAsia"/>
              </w:rPr>
              <w:t>选拔报名条件</w:t>
            </w:r>
          </w:p>
        </w:tc>
        <w:tc>
          <w:tcPr>
            <w:tcW w:w="7195" w:type="dxa"/>
            <w:vAlign w:val="center"/>
          </w:tcPr>
          <w:p w14:paraId="6239B0E2" w14:textId="28BE41BE" w:rsidR="00F03ED0" w:rsidRDefault="00D0736D" w:rsidP="00C824E4">
            <w:pPr>
              <w:spacing w:line="360" w:lineRule="auto"/>
              <w:rPr>
                <w:rFonts w:ascii="宋体" w:hAnsi="宋体"/>
              </w:rPr>
            </w:pPr>
            <w:r>
              <w:rPr>
                <w:rFonts w:hint="eastAsia"/>
              </w:rPr>
              <w:t>理工类（高考综合改革省份选考科目含</w:t>
            </w:r>
            <w:r w:rsidRPr="00AB0F2B">
              <w:rPr>
                <w:rFonts w:hint="eastAsia"/>
                <w:highlight w:val="yellow"/>
              </w:rPr>
              <w:t>物理</w:t>
            </w:r>
            <w:r>
              <w:rPr>
                <w:rFonts w:hint="eastAsia"/>
              </w:rPr>
              <w:t>）</w:t>
            </w:r>
            <w:r>
              <w:t>202</w:t>
            </w:r>
            <w:r w:rsidR="00DE2C83">
              <w:rPr>
                <w:rFonts w:hint="eastAsia"/>
              </w:rPr>
              <w:t>6</w:t>
            </w:r>
            <w:r>
              <w:t>级新生。</w:t>
            </w:r>
          </w:p>
        </w:tc>
      </w:tr>
      <w:tr w:rsidR="00F03ED0" w14:paraId="453FAF2F" w14:textId="77777777">
        <w:tc>
          <w:tcPr>
            <w:tcW w:w="1101" w:type="dxa"/>
            <w:tcBorders>
              <w:bottom w:val="single" w:sz="4" w:space="0" w:color="auto"/>
            </w:tcBorders>
            <w:vAlign w:val="center"/>
          </w:tcPr>
          <w:p w14:paraId="72E47F52" w14:textId="77777777" w:rsidR="00F03ED0" w:rsidRDefault="00D0736D">
            <w:pPr>
              <w:spacing w:line="360" w:lineRule="auto"/>
              <w:jc w:val="center"/>
              <w:rPr>
                <w:rFonts w:ascii="宋体" w:hAnsi="宋体" w:cs="宋体"/>
                <w:b/>
                <w:bCs/>
                <w:color w:val="000000"/>
                <w:kern w:val="0"/>
              </w:rPr>
            </w:pPr>
            <w:r>
              <w:rPr>
                <w:rFonts w:ascii="宋体" w:hAnsi="宋体" w:hint="eastAsia"/>
              </w:rPr>
              <w:t>选拔考核要求</w:t>
            </w:r>
          </w:p>
        </w:tc>
        <w:tc>
          <w:tcPr>
            <w:tcW w:w="7195" w:type="dxa"/>
            <w:tcBorders>
              <w:bottom w:val="single" w:sz="4" w:space="0" w:color="auto"/>
            </w:tcBorders>
            <w:vAlign w:val="center"/>
          </w:tcPr>
          <w:p w14:paraId="42F55F5B" w14:textId="77777777" w:rsidR="00F03ED0" w:rsidRPr="00EB6E28" w:rsidRDefault="00D0736D">
            <w:pPr>
              <w:spacing w:line="360" w:lineRule="auto"/>
              <w:rPr>
                <w:color w:val="000000"/>
                <w:shd w:val="clear" w:color="auto" w:fill="FFFFFF"/>
              </w:rPr>
            </w:pPr>
            <w:r w:rsidRPr="00EB6E28">
              <w:rPr>
                <w:color w:val="000000"/>
                <w:shd w:val="clear" w:color="auto" w:fill="FFFFFF"/>
              </w:rPr>
              <w:t>（</w:t>
            </w:r>
            <w:r w:rsidRPr="00EB6E28">
              <w:rPr>
                <w:color w:val="000000"/>
                <w:shd w:val="clear" w:color="auto" w:fill="FFFFFF"/>
              </w:rPr>
              <w:t>1</w:t>
            </w:r>
            <w:r w:rsidRPr="00EB6E28">
              <w:rPr>
                <w:color w:val="000000"/>
                <w:shd w:val="clear" w:color="auto" w:fill="FFFFFF"/>
              </w:rPr>
              <w:t>）初试：笔试科目为</w:t>
            </w:r>
            <w:r w:rsidRPr="00AB0F2B">
              <w:rPr>
                <w:color w:val="000000"/>
                <w:highlight w:val="yellow"/>
              </w:rPr>
              <w:t>数理基础</w:t>
            </w:r>
            <w:bookmarkStart w:id="0" w:name="_GoBack"/>
            <w:bookmarkEnd w:id="0"/>
            <w:r w:rsidRPr="00EB6E28">
              <w:rPr>
                <w:color w:val="000000"/>
                <w:shd w:val="clear" w:color="auto" w:fill="FFFFFF"/>
              </w:rPr>
              <w:t>（满分</w:t>
            </w:r>
            <w:r w:rsidRPr="00EB6E28">
              <w:rPr>
                <w:color w:val="000000"/>
                <w:shd w:val="clear" w:color="auto" w:fill="FFFFFF"/>
              </w:rPr>
              <w:t>100</w:t>
            </w:r>
            <w:r w:rsidRPr="00EB6E28">
              <w:rPr>
                <w:color w:val="000000"/>
                <w:shd w:val="clear" w:color="auto" w:fill="FFFFFF"/>
              </w:rPr>
              <w:t>分，数学和物理各占</w:t>
            </w:r>
            <w:r w:rsidRPr="00EB6E28">
              <w:rPr>
                <w:color w:val="000000"/>
                <w:shd w:val="clear" w:color="auto" w:fill="FFFFFF"/>
              </w:rPr>
              <w:t>50%)</w:t>
            </w:r>
            <w:r w:rsidRPr="00EB6E28">
              <w:rPr>
                <w:color w:val="000000"/>
                <w:shd w:val="clear" w:color="auto" w:fill="FFFFFF"/>
              </w:rPr>
              <w:t>，由教务处统一组织。</w:t>
            </w:r>
            <w:bookmarkStart w:id="1" w:name="OLE_LINK7"/>
            <w:bookmarkStart w:id="2" w:name="OLE_LINK6"/>
            <w:r w:rsidRPr="00EB6E28">
              <w:t>笔试成绩低于</w:t>
            </w:r>
            <w:r w:rsidRPr="00EB6E28">
              <w:t>50</w:t>
            </w:r>
            <w:r w:rsidRPr="00EB6E28">
              <w:t>分的考生，不得进入复试。</w:t>
            </w:r>
            <w:bookmarkEnd w:id="1"/>
            <w:bookmarkEnd w:id="2"/>
          </w:p>
          <w:p w14:paraId="5A57F58E" w14:textId="77777777" w:rsidR="00F03ED0" w:rsidRPr="00EB6E28" w:rsidRDefault="00D0736D">
            <w:pPr>
              <w:spacing w:line="360" w:lineRule="auto"/>
              <w:rPr>
                <w:color w:val="000000"/>
                <w:shd w:val="clear" w:color="auto" w:fill="FFFFFF"/>
              </w:rPr>
            </w:pPr>
            <w:r w:rsidRPr="00EB6E28">
              <w:rPr>
                <w:color w:val="000000"/>
                <w:shd w:val="clear" w:color="auto" w:fill="FFFFFF"/>
              </w:rPr>
              <w:t>（</w:t>
            </w:r>
            <w:r w:rsidRPr="00EB6E28">
              <w:rPr>
                <w:color w:val="000000"/>
                <w:shd w:val="clear" w:color="auto" w:fill="FFFFFF"/>
              </w:rPr>
              <w:t>2</w:t>
            </w:r>
            <w:r w:rsidRPr="00EB6E28">
              <w:rPr>
                <w:color w:val="000000"/>
                <w:shd w:val="clear" w:color="auto" w:fill="FFFFFF"/>
              </w:rPr>
              <w:t>）复试：根据初试成绩从高到低排序，</w:t>
            </w:r>
            <w:r w:rsidRPr="00EB6E28">
              <w:t>按照不超过</w:t>
            </w:r>
            <w:r w:rsidRPr="00EB6E28">
              <w:t>1:3</w:t>
            </w:r>
            <w:r w:rsidRPr="00EB6E28">
              <w:t>的差额比例确定</w:t>
            </w:r>
            <w:r>
              <w:t>复试名单</w:t>
            </w:r>
            <w:r w:rsidRPr="00EB6E28">
              <w:rPr>
                <w:color w:val="000000"/>
                <w:shd w:val="clear" w:color="auto" w:fill="FFFFFF"/>
              </w:rPr>
              <w:t>，末位同分者均可进入复试。由外国语学院组织面试，考核英语能力、综合素养。成绩组成为英语</w:t>
            </w:r>
            <w:r w:rsidRPr="00EB6E28">
              <w:rPr>
                <w:color w:val="000000"/>
                <w:shd w:val="clear" w:color="auto" w:fill="FFFFFF"/>
              </w:rPr>
              <w:t>60</w:t>
            </w:r>
            <w:r w:rsidRPr="00EB6E28">
              <w:rPr>
                <w:color w:val="000000"/>
                <w:shd w:val="clear" w:color="auto" w:fill="FFFFFF"/>
              </w:rPr>
              <w:t>分，综合素养</w:t>
            </w:r>
            <w:r w:rsidRPr="00EB6E28">
              <w:rPr>
                <w:color w:val="000000"/>
                <w:shd w:val="clear" w:color="auto" w:fill="FFFFFF"/>
              </w:rPr>
              <w:t>40</w:t>
            </w:r>
            <w:r w:rsidRPr="00EB6E28">
              <w:rPr>
                <w:color w:val="000000"/>
                <w:shd w:val="clear" w:color="auto" w:fill="FFFFFF"/>
              </w:rPr>
              <w:t>分。</w:t>
            </w:r>
          </w:p>
          <w:p w14:paraId="7B743E12" w14:textId="77777777" w:rsidR="00F03ED0" w:rsidRPr="00EB6E28" w:rsidRDefault="00D0736D">
            <w:pPr>
              <w:spacing w:line="360" w:lineRule="auto"/>
              <w:rPr>
                <w:color w:val="000000"/>
                <w:shd w:val="clear" w:color="auto" w:fill="FFFFFF"/>
              </w:rPr>
            </w:pPr>
            <w:r w:rsidRPr="00EB6E28">
              <w:rPr>
                <w:color w:val="000000"/>
                <w:shd w:val="clear" w:color="auto" w:fill="FFFFFF"/>
              </w:rPr>
              <w:t>（</w:t>
            </w:r>
            <w:r w:rsidRPr="00EB6E28">
              <w:rPr>
                <w:color w:val="000000"/>
                <w:shd w:val="clear" w:color="auto" w:fill="FFFFFF"/>
              </w:rPr>
              <w:t>3</w:t>
            </w:r>
            <w:r w:rsidRPr="00EB6E28">
              <w:rPr>
                <w:color w:val="000000"/>
                <w:shd w:val="clear" w:color="auto" w:fill="FFFFFF"/>
              </w:rPr>
              <w:t>）综合成绩计算办法：综合成绩</w:t>
            </w:r>
            <w:r w:rsidRPr="00EB6E28">
              <w:rPr>
                <w:color w:val="000000"/>
                <w:shd w:val="clear" w:color="auto" w:fill="FFFFFF"/>
              </w:rPr>
              <w:t>=</w:t>
            </w:r>
            <w:r w:rsidRPr="00EB6E28">
              <w:rPr>
                <w:color w:val="000000"/>
                <w:shd w:val="clear" w:color="auto" w:fill="FFFFFF"/>
              </w:rPr>
              <w:t>初试</w:t>
            </w:r>
            <w:r w:rsidRPr="00EB6E28">
              <w:rPr>
                <w:color w:val="000000"/>
                <w:shd w:val="clear" w:color="auto" w:fill="FFFFFF"/>
              </w:rPr>
              <w:t>*60%+</w:t>
            </w:r>
            <w:r w:rsidRPr="00EB6E28">
              <w:rPr>
                <w:color w:val="000000"/>
                <w:shd w:val="clear" w:color="auto" w:fill="FFFFFF"/>
              </w:rPr>
              <w:t>复试</w:t>
            </w:r>
            <w:r w:rsidRPr="00EB6E28">
              <w:rPr>
                <w:color w:val="000000"/>
                <w:shd w:val="clear" w:color="auto" w:fill="FFFFFF"/>
              </w:rPr>
              <w:t>*40%</w:t>
            </w:r>
            <w:r w:rsidRPr="00EB6E28">
              <w:rPr>
                <w:color w:val="000000"/>
                <w:shd w:val="clear" w:color="auto" w:fill="FFFFFF"/>
              </w:rPr>
              <w:t>。</w:t>
            </w:r>
          </w:p>
          <w:p w14:paraId="357E318D" w14:textId="4BAF9622" w:rsidR="00F03ED0" w:rsidRDefault="00D0736D">
            <w:pPr>
              <w:spacing w:line="360" w:lineRule="auto"/>
              <w:rPr>
                <w:rFonts w:ascii="宋体" w:hAnsi="宋体"/>
                <w:kern w:val="0"/>
              </w:rPr>
            </w:pPr>
            <w:r w:rsidRPr="00EB6E28">
              <w:rPr>
                <w:color w:val="000000"/>
                <w:shd w:val="clear" w:color="auto" w:fill="FFFFFF"/>
              </w:rPr>
              <w:t>（</w:t>
            </w:r>
            <w:r w:rsidRPr="00EB6E28">
              <w:rPr>
                <w:color w:val="000000"/>
                <w:shd w:val="clear" w:color="auto" w:fill="FFFFFF"/>
              </w:rPr>
              <w:t>4</w:t>
            </w:r>
            <w:r w:rsidRPr="00EB6E28">
              <w:rPr>
                <w:color w:val="000000"/>
                <w:shd w:val="clear" w:color="auto" w:fill="FFFFFF"/>
              </w:rPr>
              <w:t>）录取：对于复试成绩在</w:t>
            </w:r>
            <w:r w:rsidRPr="00EB6E28">
              <w:rPr>
                <w:color w:val="000000"/>
                <w:shd w:val="clear" w:color="auto" w:fill="FFFFFF"/>
              </w:rPr>
              <w:t>70</w:t>
            </w:r>
            <w:r w:rsidRPr="00EB6E28">
              <w:rPr>
                <w:color w:val="000000"/>
                <w:shd w:val="clear" w:color="auto" w:fill="FFFFFF"/>
              </w:rPr>
              <w:t>分及以上的考生，按综合成绩排序，择优录取不超过</w:t>
            </w:r>
            <w:r w:rsidR="00EB6E28" w:rsidRPr="00EB6E28">
              <w:rPr>
                <w:rFonts w:hint="eastAsia"/>
                <w:shd w:val="clear" w:color="auto" w:fill="FFFFFF"/>
              </w:rPr>
              <w:t>7</w:t>
            </w:r>
            <w:r w:rsidRPr="00EB6E28">
              <w:rPr>
                <w:color w:val="000000"/>
                <w:shd w:val="clear" w:color="auto" w:fill="FFFFFF"/>
              </w:rPr>
              <w:t>人，</w:t>
            </w:r>
            <w:bookmarkStart w:id="3" w:name="OLE_LINK8"/>
            <w:r w:rsidRPr="00EB6E28">
              <w:t>末位同分者，</w:t>
            </w:r>
            <w:bookmarkStart w:id="4" w:name="OLE_LINK17"/>
            <w:r w:rsidRPr="00EB6E28">
              <w:t>优先录取初试成绩较高的考生</w:t>
            </w:r>
            <w:bookmarkEnd w:id="3"/>
            <w:bookmarkEnd w:id="4"/>
            <w:r w:rsidRPr="00EB6E28">
              <w:rPr>
                <w:color w:val="000000"/>
                <w:shd w:val="clear" w:color="auto" w:fill="FFFFFF"/>
              </w:rPr>
              <w:t>；对于复试成绩低于</w:t>
            </w:r>
            <w:r w:rsidRPr="00EB6E28">
              <w:rPr>
                <w:color w:val="000000"/>
                <w:shd w:val="clear" w:color="auto" w:fill="FFFFFF"/>
              </w:rPr>
              <w:t>70</w:t>
            </w:r>
            <w:r w:rsidRPr="00EB6E28">
              <w:rPr>
                <w:color w:val="000000"/>
                <w:shd w:val="clear" w:color="auto" w:fill="FFFFFF"/>
              </w:rPr>
              <w:t>分的考生，不予录取。</w:t>
            </w:r>
          </w:p>
        </w:tc>
      </w:tr>
    </w:tbl>
    <w:p w14:paraId="37308A6C" w14:textId="77777777" w:rsidR="00F03ED0" w:rsidRDefault="00F03ED0"/>
    <w:p w14:paraId="5C3B1DBC" w14:textId="77777777" w:rsidR="00F03ED0" w:rsidRDefault="00F03ED0"/>
    <w:p w14:paraId="62F0A098" w14:textId="77777777" w:rsidR="00F03ED0" w:rsidRDefault="00D0736D" w:rsidP="00B809E8">
      <w:pPr>
        <w:spacing w:afterLines="50" w:after="156" w:line="360" w:lineRule="auto"/>
        <w:ind w:firstLineChars="1200" w:firstLine="3614"/>
        <w:rPr>
          <w:rFonts w:asciiTheme="majorEastAsia" w:eastAsiaTheme="majorEastAsia" w:hAnsiTheme="majorEastAsia"/>
          <w:b/>
          <w:bCs/>
          <w:sz w:val="30"/>
          <w:szCs w:val="30"/>
        </w:rPr>
      </w:pPr>
      <w:r>
        <w:rPr>
          <w:rFonts w:asciiTheme="majorEastAsia" w:eastAsiaTheme="majorEastAsia" w:hAnsiTheme="majorEastAsia" w:hint="eastAsia"/>
          <w:b/>
          <w:bCs/>
          <w:sz w:val="30"/>
          <w:szCs w:val="30"/>
        </w:rPr>
        <w:t>项目简介</w:t>
      </w:r>
    </w:p>
    <w:p w14:paraId="1721469B" w14:textId="1B899E3C" w:rsidR="009840BA" w:rsidRPr="009840BA" w:rsidRDefault="009840BA" w:rsidP="009840BA">
      <w:pPr>
        <w:spacing w:afterLines="50" w:after="156"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东南大学</w:t>
      </w:r>
      <w:r w:rsidRPr="009840BA">
        <w:rPr>
          <w:rFonts w:asciiTheme="majorEastAsia" w:eastAsiaTheme="majorEastAsia" w:hAnsiTheme="majorEastAsia" w:hint="eastAsia"/>
          <w:sz w:val="28"/>
          <w:szCs w:val="28"/>
        </w:rPr>
        <w:t>“日语+电子科学与技术”双学士学位复合型人才培养项目由外国语学院与电子科学与工程学院共同实施，实行联合授课、协同管理。</w:t>
      </w:r>
      <w:r w:rsidRPr="009840BA">
        <w:rPr>
          <w:rFonts w:asciiTheme="majorEastAsia" w:eastAsiaTheme="majorEastAsia" w:hAnsiTheme="majorEastAsia"/>
          <w:sz w:val="28"/>
          <w:szCs w:val="28"/>
        </w:rPr>
        <w:t>项目依托“外国语言文学”“电子科学与技术”两个一级学科博士学位授权点、两个国家级一流本科专业建设点，以及与早稻田大学、大阪大学等日本高校的</w:t>
      </w:r>
      <w:proofErr w:type="gramStart"/>
      <w:r w:rsidRPr="009840BA">
        <w:rPr>
          <w:rFonts w:asciiTheme="majorEastAsia" w:eastAsiaTheme="majorEastAsia" w:hAnsiTheme="majorEastAsia"/>
          <w:sz w:val="28"/>
          <w:szCs w:val="28"/>
        </w:rPr>
        <w:t>优质合作</w:t>
      </w:r>
      <w:proofErr w:type="gramEnd"/>
      <w:r w:rsidRPr="009840BA">
        <w:rPr>
          <w:rFonts w:asciiTheme="majorEastAsia" w:eastAsiaTheme="majorEastAsia" w:hAnsiTheme="majorEastAsia"/>
          <w:sz w:val="28"/>
          <w:szCs w:val="28"/>
        </w:rPr>
        <w:t>平台，旨在打破文科与工科的专业壁垒，培养具有扎实的日语语言能力和电子科学专业知识，具</w:t>
      </w:r>
      <w:r w:rsidRPr="009840BA">
        <w:rPr>
          <w:rFonts w:asciiTheme="majorEastAsia" w:eastAsiaTheme="majorEastAsia" w:hAnsiTheme="majorEastAsia"/>
          <w:sz w:val="28"/>
          <w:szCs w:val="28"/>
        </w:rPr>
        <w:lastRenderedPageBreak/>
        <w:t>备良好跨文化交际能力、工程实践能力、宽广国际视野和创新发展潜力的复合型</w:t>
      </w:r>
      <w:r>
        <w:rPr>
          <w:rFonts w:asciiTheme="majorEastAsia" w:eastAsiaTheme="majorEastAsia" w:hAnsiTheme="majorEastAsia" w:hint="eastAsia"/>
          <w:sz w:val="28"/>
          <w:szCs w:val="28"/>
        </w:rPr>
        <w:t>领军</w:t>
      </w:r>
      <w:r w:rsidRPr="009840BA">
        <w:rPr>
          <w:rFonts w:asciiTheme="majorEastAsia" w:eastAsiaTheme="majorEastAsia" w:hAnsiTheme="majorEastAsia"/>
          <w:sz w:val="28"/>
          <w:szCs w:val="28"/>
        </w:rPr>
        <w:t>人才。</w:t>
      </w:r>
    </w:p>
    <w:p w14:paraId="43223DF0" w14:textId="4E7DB08D" w:rsidR="009840BA" w:rsidRPr="009840BA" w:rsidRDefault="009840BA" w:rsidP="009840BA">
      <w:pPr>
        <w:spacing w:afterLines="50" w:after="156" w:line="360" w:lineRule="auto"/>
        <w:ind w:firstLineChars="200" w:firstLine="560"/>
        <w:rPr>
          <w:rFonts w:asciiTheme="majorEastAsia" w:eastAsiaTheme="majorEastAsia" w:hAnsiTheme="majorEastAsia"/>
          <w:sz w:val="28"/>
          <w:szCs w:val="28"/>
        </w:rPr>
      </w:pPr>
      <w:r w:rsidRPr="009840BA">
        <w:rPr>
          <w:rFonts w:asciiTheme="majorEastAsia" w:eastAsiaTheme="majorEastAsia" w:hAnsiTheme="majorEastAsia" w:hint="eastAsia"/>
          <w:sz w:val="28"/>
          <w:szCs w:val="28"/>
        </w:rPr>
        <w:t>项目秉承“厚基础、宽口径、重交叉、强创新”的培养理念，构建语言、人文、数理与工程相贯通的课程体系。课程涵盖日语听说读写译、日本社会文化、高等数学、大学物理、电子电路、半导体物理等核心内容，并设置科技日语视听说、光电系统工程课程设计等融合性课程。项目实行跨学科授课和双导师制，在夯实日语与电子科学专业基础的同时，重点培养跨文化交际、工程实践、专业沟通和设计创新能力，使学生能够运用语言、理论与技术手段，解决电子信息领域的技术交流、项目协作和技术管理问题。</w:t>
      </w:r>
    </w:p>
    <w:p w14:paraId="2F6983BB" w14:textId="300A12BD" w:rsidR="00F03ED0" w:rsidRDefault="009840BA" w:rsidP="009840BA">
      <w:pPr>
        <w:spacing w:afterLines="50" w:after="156" w:line="360" w:lineRule="auto"/>
        <w:ind w:firstLineChars="200" w:firstLine="560"/>
        <w:rPr>
          <w:rFonts w:asciiTheme="majorEastAsia" w:eastAsiaTheme="majorEastAsia" w:hAnsiTheme="majorEastAsia"/>
          <w:sz w:val="28"/>
          <w:szCs w:val="28"/>
        </w:rPr>
      </w:pPr>
      <w:r w:rsidRPr="009840BA">
        <w:rPr>
          <w:rFonts w:asciiTheme="majorEastAsia" w:eastAsiaTheme="majorEastAsia" w:hAnsiTheme="majorEastAsia" w:hint="eastAsia"/>
          <w:sz w:val="28"/>
          <w:szCs w:val="28"/>
        </w:rPr>
        <w:t>毕业生具备日语与电子科学与技术交叉融合的知识结构，可进入国内外高校继续深造，攻读日语语言文学、物理电子学、微电子学与固体电子学、电路与系统、光学工程、物联网、通信与信息工程等专业；也可进入科研院所、电子信息企业、跨国</w:t>
      </w:r>
      <w:r>
        <w:rPr>
          <w:rFonts w:asciiTheme="majorEastAsia" w:eastAsiaTheme="majorEastAsia" w:hAnsiTheme="majorEastAsia" w:hint="eastAsia"/>
          <w:sz w:val="28"/>
          <w:szCs w:val="28"/>
        </w:rPr>
        <w:t>企业等</w:t>
      </w:r>
      <w:r w:rsidRPr="009840BA">
        <w:rPr>
          <w:rFonts w:asciiTheme="majorEastAsia" w:eastAsiaTheme="majorEastAsia" w:hAnsiTheme="majorEastAsia" w:hint="eastAsia"/>
          <w:sz w:val="28"/>
          <w:szCs w:val="28"/>
        </w:rPr>
        <w:t>，从事技术研发、国际业务、科技翻译、项目协调或技术管理工作，升学就业口径宽，跨学科竞争优势明显。</w:t>
      </w:r>
    </w:p>
    <w:p w14:paraId="3F9D2B49" w14:textId="77777777" w:rsidR="00F03ED0" w:rsidRDefault="00F03ED0"/>
    <w:p w14:paraId="310DF17B" w14:textId="77777777" w:rsidR="00F03ED0" w:rsidRDefault="00F03ED0"/>
    <w:p w14:paraId="7EF5C08A" w14:textId="77777777" w:rsidR="00F03ED0" w:rsidRDefault="00F03ED0"/>
    <w:sectPr w:rsidR="00F03E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AC46D" w14:textId="77777777" w:rsidR="0086159A" w:rsidRDefault="0086159A" w:rsidP="00B809E8">
      <w:r>
        <w:separator/>
      </w:r>
    </w:p>
  </w:endnote>
  <w:endnote w:type="continuationSeparator" w:id="0">
    <w:p w14:paraId="2705AC6E" w14:textId="77777777" w:rsidR="0086159A" w:rsidRDefault="0086159A" w:rsidP="00B80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760975" w14:textId="77777777" w:rsidR="0086159A" w:rsidRDefault="0086159A" w:rsidP="00B809E8">
      <w:r>
        <w:separator/>
      </w:r>
    </w:p>
  </w:footnote>
  <w:footnote w:type="continuationSeparator" w:id="0">
    <w:p w14:paraId="12E46B68" w14:textId="77777777" w:rsidR="0086159A" w:rsidRDefault="0086159A" w:rsidP="00B809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1CA"/>
    <w:rsid w:val="D7B73A4A"/>
    <w:rsid w:val="EAF7BFC4"/>
    <w:rsid w:val="F6BF8D25"/>
    <w:rsid w:val="00176967"/>
    <w:rsid w:val="001D5FF1"/>
    <w:rsid w:val="002014FF"/>
    <w:rsid w:val="00272E22"/>
    <w:rsid w:val="002A720C"/>
    <w:rsid w:val="00402ACB"/>
    <w:rsid w:val="004369E4"/>
    <w:rsid w:val="00491A5B"/>
    <w:rsid w:val="004B3BB6"/>
    <w:rsid w:val="005618A5"/>
    <w:rsid w:val="005670BA"/>
    <w:rsid w:val="00567EF2"/>
    <w:rsid w:val="005A5A4C"/>
    <w:rsid w:val="006654C0"/>
    <w:rsid w:val="006C5357"/>
    <w:rsid w:val="007027EE"/>
    <w:rsid w:val="007771CA"/>
    <w:rsid w:val="007772E9"/>
    <w:rsid w:val="007F15C1"/>
    <w:rsid w:val="0083163A"/>
    <w:rsid w:val="0086159A"/>
    <w:rsid w:val="008836AA"/>
    <w:rsid w:val="00982E94"/>
    <w:rsid w:val="009840BA"/>
    <w:rsid w:val="009A49EC"/>
    <w:rsid w:val="00A751FE"/>
    <w:rsid w:val="00AB0F2B"/>
    <w:rsid w:val="00AD596B"/>
    <w:rsid w:val="00B809E8"/>
    <w:rsid w:val="00BA09CA"/>
    <w:rsid w:val="00BD7B5B"/>
    <w:rsid w:val="00C824E4"/>
    <w:rsid w:val="00C8630D"/>
    <w:rsid w:val="00CD0D09"/>
    <w:rsid w:val="00D0736D"/>
    <w:rsid w:val="00DE2C83"/>
    <w:rsid w:val="00DF7491"/>
    <w:rsid w:val="00E50CE5"/>
    <w:rsid w:val="00EA721D"/>
    <w:rsid w:val="00EB559B"/>
    <w:rsid w:val="00EB6E28"/>
    <w:rsid w:val="00EC2F27"/>
    <w:rsid w:val="00F03ED0"/>
    <w:rsid w:val="00F20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316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lang w:val="en-US"/>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lang w:val="en-US"/>
    </w:rPr>
  </w:style>
  <w:style w:type="table" w:styleId="a5">
    <w:name w:val="Table Grid"/>
    <w:basedOn w:val="a1"/>
    <w:uiPriority w:val="39"/>
    <w:qFormat/>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lang w:val="en-US"/>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lang w:val="en-US"/>
    </w:rPr>
  </w:style>
  <w:style w:type="table" w:styleId="a5">
    <w:name w:val="Table Grid"/>
    <w:basedOn w:val="a1"/>
    <w:uiPriority w:val="39"/>
    <w:qFormat/>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153</Words>
  <Characters>873</Characters>
  <Application>Microsoft Office Word</Application>
  <DocSecurity>0</DocSecurity>
  <Lines>7</Lines>
  <Paragraphs>2</Paragraphs>
  <ScaleCrop>false</ScaleCrop>
  <Company/>
  <LinksUpToDate>false</LinksUpToDate>
  <CharactersWithSpaces>1024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2</cp:revision>
  <dcterms:created xsi:type="dcterms:W3CDTF">2026-08-06T08:37:00Z</dcterms:created>
  <dcterms:modified xsi:type="dcterms:W3CDTF">2026-08-06T08:37:00Z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2052-12.1.22218.22218</vt:lpwstr>
  </property>
  <property fmtid="{D5CDD505-2E9C-101B-9397-08002B2CF9AE}" pid="3" name="ICV">
    <vt:lpwstr>F0D8BB71E91F92A9982797685C398F9F_43</vt:lpwstr>
  </property>
</Properties>
</file>